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E7" w:rsidRPr="004D6357" w:rsidRDefault="00BF64E7" w:rsidP="00BF64E7">
      <w:pPr>
        <w:pStyle w:val="NormalWeb"/>
        <w:jc w:val="center"/>
        <w:rPr>
          <w:rFonts w:ascii="RobustaTLPro-Regular" w:hAnsi="RobustaTLPro-Regular" w:cs="Arial"/>
          <w:b/>
        </w:rPr>
      </w:pPr>
      <w:r w:rsidRPr="004D6357">
        <w:rPr>
          <w:b/>
        </w:rPr>
        <w:t>Applying exceptions pursuant to Article 16 of Regulation (EC) No 883/2004</w:t>
      </w:r>
    </w:p>
    <w:p w:rsidR="00BF64E7" w:rsidRPr="004D6357" w:rsidRDefault="00BF64E7" w:rsidP="00BF64E7">
      <w:pPr>
        <w:pStyle w:val="NormalWeb"/>
        <w:jc w:val="both"/>
        <w:rPr>
          <w:color w:val="212529"/>
        </w:rPr>
      </w:pPr>
      <w:r w:rsidRPr="004D6357">
        <w:rPr>
          <w:color w:val="212529"/>
        </w:rPr>
        <w:t>In accordance with the Regulations, the duration of posting may not exceed 24 months, but competent authorities of Member States may agree on exceptions from the provisions of the Regulation in the interest of certain persons. The agreement means that the person is subject to the legislation of a Member State, even though the social security legislation of another EU Member State applies to them according to provisions of the Regulation. The agreement must be based on the interests and benefits of workers.</w:t>
      </w:r>
    </w:p>
    <w:p w:rsidR="00BF64E7" w:rsidRPr="004D6357" w:rsidRDefault="00BF64E7" w:rsidP="00BF64E7">
      <w:pPr>
        <w:pStyle w:val="NormalWeb"/>
        <w:jc w:val="both"/>
        <w:rPr>
          <w:color w:val="212529"/>
        </w:rPr>
      </w:pPr>
      <w:r w:rsidRPr="004D6357">
        <w:rPr>
          <w:color w:val="212529"/>
        </w:rPr>
        <w:t>For example, if it is known that the expected duration of posting will exceed 24 months, the employer or the person in question must submit a request to the VSAA in a timely manner. The exception must be agreed by the VSAA with the competent authority of the country of employment. If a positive decision is made, the VSAA issues the A1 certificate; the maximum validity of the A1 certificate when an exception is applied is 5 years.</w:t>
      </w:r>
    </w:p>
    <w:p w:rsidR="00BF64E7" w:rsidRPr="004D6357" w:rsidRDefault="00BF64E7" w:rsidP="00BF64E7">
      <w:pPr>
        <w:pStyle w:val="NormalWeb"/>
        <w:jc w:val="both"/>
        <w:rPr>
          <w:color w:val="212529"/>
        </w:rPr>
      </w:pPr>
      <w:r w:rsidRPr="004D6357">
        <w:rPr>
          <w:color w:val="212529"/>
        </w:rPr>
        <w:t xml:space="preserve">The agreement referred to in Article 16 is also applicable in order to permit </w:t>
      </w:r>
      <w:r w:rsidRPr="004D6357">
        <w:rPr>
          <w:rStyle w:val="Strong"/>
          <w:rFonts w:ascii="Times New Roman" w:hAnsi="Times New Roman"/>
          <w:color w:val="212529"/>
        </w:rPr>
        <w:t>posting for a retrospective</w:t>
      </w:r>
      <w:r w:rsidR="008C1464" w:rsidRPr="004D6357">
        <w:rPr>
          <w:color w:val="212529"/>
        </w:rPr>
        <w:t xml:space="preserve"> </w:t>
      </w:r>
      <w:r w:rsidRPr="004D6357">
        <w:rPr>
          <w:rStyle w:val="Strong"/>
          <w:rFonts w:ascii="Times New Roman" w:hAnsi="Times New Roman"/>
          <w:color w:val="212529"/>
        </w:rPr>
        <w:t>period</w:t>
      </w:r>
      <w:r w:rsidRPr="004D6357">
        <w:rPr>
          <w:color w:val="212529"/>
        </w:rPr>
        <w:t xml:space="preserve"> that affects the employee’s interests, for example where the legislation of an incorrect Member State were applied. However, such consideration of a past situation is only permissible as an exception.</w:t>
      </w:r>
    </w:p>
    <w:p w:rsidR="00BF64E7" w:rsidRPr="004D6357" w:rsidRDefault="00BF64E7" w:rsidP="00BF64E7">
      <w:pPr>
        <w:pStyle w:val="NormalWeb"/>
        <w:jc w:val="both"/>
        <w:rPr>
          <w:color w:val="212529"/>
        </w:rPr>
      </w:pPr>
      <w:r w:rsidRPr="004D6357">
        <w:rPr>
          <w:color w:val="212529"/>
        </w:rPr>
        <w:t>If no request to extend the period of posting beyond 24 months is submitted or if, following submission of a request, the countries involved do not reach an agreement on extending the application of the legislation of the posting country pursuant to Article 16 of the Regulation, then immediately after the expiry of the posting period, the person becomes subject to the legislation of the Member State where they in fact work.</w:t>
      </w:r>
    </w:p>
    <w:p w:rsidR="00BF64E7" w:rsidRDefault="00D74BD0" w:rsidP="00BF64E7">
      <w:pPr>
        <w:jc w:val="both"/>
      </w:pPr>
      <w:r>
        <w:rPr>
          <w:noProof/>
          <w:lang w:val="lv-LV"/>
        </w:rPr>
        <w:drawing>
          <wp:inline distT="0" distB="0" distL="0" distR="0" wp14:anchorId="3A486520">
            <wp:extent cx="1718945" cy="749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8945" cy="749935"/>
                    </a:xfrm>
                    <a:prstGeom prst="rect">
                      <a:avLst/>
                    </a:prstGeom>
                    <a:noFill/>
                  </pic:spPr>
                </pic:pic>
              </a:graphicData>
            </a:graphic>
          </wp:inline>
        </w:drawing>
      </w:r>
    </w:p>
    <w:p w:rsidR="00043DC6" w:rsidRPr="00043DC6" w:rsidRDefault="00043DC6" w:rsidP="00043DC6">
      <w:pPr>
        <w:jc w:val="both"/>
        <w:rPr>
          <w:lang w:val="lv-LV"/>
        </w:rPr>
      </w:pPr>
      <w:r w:rsidRPr="00043DC6">
        <w:rPr>
          <w:lang w:val="lv-LV"/>
        </w:rPr>
        <w:t>VSAA izmanto Eiropas Darba iestādes atbalstu</w:t>
      </w:r>
    </w:p>
    <w:p w:rsidR="00043DC6" w:rsidRPr="004D6357" w:rsidRDefault="00043DC6" w:rsidP="00043DC6">
      <w:pPr>
        <w:jc w:val="both"/>
      </w:pPr>
      <w:r w:rsidRPr="00043DC6">
        <w:rPr>
          <w:lang w:val="lv-LV"/>
        </w:rPr>
        <w:t>tulkojumu nodrošināšanā</w:t>
      </w:r>
      <w:bookmarkStart w:id="0" w:name="_GoBack"/>
      <w:bookmarkEnd w:id="0"/>
    </w:p>
    <w:sectPr w:rsidR="00043DC6" w:rsidRPr="004D635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062" w:rsidRPr="004D6357" w:rsidRDefault="00652062" w:rsidP="004D6357">
      <w:r w:rsidRPr="004D6357">
        <w:separator/>
      </w:r>
    </w:p>
  </w:endnote>
  <w:endnote w:type="continuationSeparator" w:id="0">
    <w:p w:rsidR="00652062" w:rsidRPr="004D6357" w:rsidRDefault="00652062" w:rsidP="004D6357">
      <w:r w:rsidRPr="004D635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RobustaTLPro-Medium">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RobustaTLPro-Regular">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062" w:rsidRPr="004D6357" w:rsidRDefault="00652062" w:rsidP="004D6357">
      <w:r w:rsidRPr="004D6357">
        <w:separator/>
      </w:r>
    </w:p>
  </w:footnote>
  <w:footnote w:type="continuationSeparator" w:id="0">
    <w:p w:rsidR="00652062" w:rsidRPr="004D6357" w:rsidRDefault="00652062" w:rsidP="004D6357">
      <w:r w:rsidRPr="004D6357">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4E7"/>
    <w:rsid w:val="00043DC6"/>
    <w:rsid w:val="001B3700"/>
    <w:rsid w:val="00417A12"/>
    <w:rsid w:val="004D6357"/>
    <w:rsid w:val="005A01F6"/>
    <w:rsid w:val="005E28D4"/>
    <w:rsid w:val="00652062"/>
    <w:rsid w:val="008C1464"/>
    <w:rsid w:val="00BF64E7"/>
    <w:rsid w:val="00D74BD0"/>
    <w:rsid w:val="00EA4E95"/>
  </w:rsids>
  <m:mathPr>
    <m:mathFont m:val="Cambria Math"/>
    <m:brkBin m:val="before"/>
    <m:brkBinSub m:val="--"/>
    <m:smallFrac m:val="0"/>
    <m:dispDef/>
    <m:lMargin m:val="0"/>
    <m:rMargin m:val="0"/>
    <m:defJc m:val="centerGroup"/>
    <m:wrapIndent m:val="1440"/>
    <m:intLim m:val="subSup"/>
    <m:naryLim m:val="undOvr"/>
  </m:mathPr>
  <w:themeFontLang w:val="fr-L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fr-L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F64E7"/>
    <w:rPr>
      <w:rFonts w:ascii="RobustaTLPro-Medium" w:hAnsi="RobustaTLPro-Medium" w:hint="default"/>
      <w:b w:val="0"/>
      <w:bCs w:val="0"/>
    </w:rPr>
  </w:style>
  <w:style w:type="paragraph" w:styleId="NormalWeb">
    <w:name w:val="Normal (Web)"/>
    <w:basedOn w:val="Normal"/>
    <w:rsid w:val="00BF64E7"/>
    <w:pPr>
      <w:spacing w:after="100" w:afterAutospacing="1"/>
    </w:pPr>
  </w:style>
  <w:style w:type="paragraph" w:styleId="Header">
    <w:name w:val="header"/>
    <w:basedOn w:val="Normal"/>
    <w:link w:val="HeaderChar"/>
    <w:rsid w:val="004D6357"/>
    <w:pPr>
      <w:tabs>
        <w:tab w:val="center" w:pos="4680"/>
        <w:tab w:val="right" w:pos="9360"/>
      </w:tabs>
    </w:pPr>
  </w:style>
  <w:style w:type="character" w:customStyle="1" w:styleId="HeaderChar">
    <w:name w:val="Header Char"/>
    <w:basedOn w:val="DefaultParagraphFont"/>
    <w:link w:val="Header"/>
    <w:rsid w:val="004D6357"/>
    <w:rPr>
      <w:sz w:val="24"/>
      <w:szCs w:val="24"/>
      <w:lang w:eastAsia="lv-LV"/>
    </w:rPr>
  </w:style>
  <w:style w:type="paragraph" w:styleId="Footer">
    <w:name w:val="footer"/>
    <w:basedOn w:val="Normal"/>
    <w:link w:val="FooterChar"/>
    <w:rsid w:val="004D6357"/>
    <w:pPr>
      <w:tabs>
        <w:tab w:val="center" w:pos="4680"/>
        <w:tab w:val="right" w:pos="9360"/>
      </w:tabs>
    </w:pPr>
  </w:style>
  <w:style w:type="character" w:customStyle="1" w:styleId="FooterChar">
    <w:name w:val="Footer Char"/>
    <w:basedOn w:val="DefaultParagraphFont"/>
    <w:link w:val="Footer"/>
    <w:rsid w:val="004D6357"/>
    <w:rPr>
      <w:sz w:val="24"/>
      <w:szCs w:val="24"/>
      <w:lang w:eastAsia="lv-LV"/>
    </w:rPr>
  </w:style>
  <w:style w:type="paragraph" w:styleId="BalloonText">
    <w:name w:val="Balloon Text"/>
    <w:basedOn w:val="Normal"/>
    <w:link w:val="BalloonTextChar"/>
    <w:rsid w:val="00D74BD0"/>
    <w:rPr>
      <w:rFonts w:ascii="Tahoma" w:hAnsi="Tahoma" w:cs="Tahoma"/>
      <w:sz w:val="16"/>
      <w:szCs w:val="16"/>
    </w:rPr>
  </w:style>
  <w:style w:type="character" w:customStyle="1" w:styleId="BalloonTextChar">
    <w:name w:val="Balloon Text Char"/>
    <w:basedOn w:val="DefaultParagraphFont"/>
    <w:link w:val="BalloonText"/>
    <w:rsid w:val="00D74BD0"/>
    <w:rPr>
      <w:rFonts w:ascii="Tahoma"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fr-L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F64E7"/>
    <w:rPr>
      <w:rFonts w:ascii="RobustaTLPro-Medium" w:hAnsi="RobustaTLPro-Medium" w:hint="default"/>
      <w:b w:val="0"/>
      <w:bCs w:val="0"/>
    </w:rPr>
  </w:style>
  <w:style w:type="paragraph" w:styleId="NormalWeb">
    <w:name w:val="Normal (Web)"/>
    <w:basedOn w:val="Normal"/>
    <w:rsid w:val="00BF64E7"/>
    <w:pPr>
      <w:spacing w:after="100" w:afterAutospacing="1"/>
    </w:pPr>
  </w:style>
  <w:style w:type="paragraph" w:styleId="Header">
    <w:name w:val="header"/>
    <w:basedOn w:val="Normal"/>
    <w:link w:val="HeaderChar"/>
    <w:rsid w:val="004D6357"/>
    <w:pPr>
      <w:tabs>
        <w:tab w:val="center" w:pos="4680"/>
        <w:tab w:val="right" w:pos="9360"/>
      </w:tabs>
    </w:pPr>
  </w:style>
  <w:style w:type="character" w:customStyle="1" w:styleId="HeaderChar">
    <w:name w:val="Header Char"/>
    <w:basedOn w:val="DefaultParagraphFont"/>
    <w:link w:val="Header"/>
    <w:rsid w:val="004D6357"/>
    <w:rPr>
      <w:sz w:val="24"/>
      <w:szCs w:val="24"/>
      <w:lang w:eastAsia="lv-LV"/>
    </w:rPr>
  </w:style>
  <w:style w:type="paragraph" w:styleId="Footer">
    <w:name w:val="footer"/>
    <w:basedOn w:val="Normal"/>
    <w:link w:val="FooterChar"/>
    <w:rsid w:val="004D6357"/>
    <w:pPr>
      <w:tabs>
        <w:tab w:val="center" w:pos="4680"/>
        <w:tab w:val="right" w:pos="9360"/>
      </w:tabs>
    </w:pPr>
  </w:style>
  <w:style w:type="character" w:customStyle="1" w:styleId="FooterChar">
    <w:name w:val="Footer Char"/>
    <w:basedOn w:val="DefaultParagraphFont"/>
    <w:link w:val="Footer"/>
    <w:rsid w:val="004D6357"/>
    <w:rPr>
      <w:sz w:val="24"/>
      <w:szCs w:val="24"/>
      <w:lang w:eastAsia="lv-LV"/>
    </w:rPr>
  </w:style>
  <w:style w:type="paragraph" w:styleId="BalloonText">
    <w:name w:val="Balloon Text"/>
    <w:basedOn w:val="Normal"/>
    <w:link w:val="BalloonTextChar"/>
    <w:rsid w:val="00D74BD0"/>
    <w:rPr>
      <w:rFonts w:ascii="Tahoma" w:hAnsi="Tahoma" w:cs="Tahoma"/>
      <w:sz w:val="16"/>
      <w:szCs w:val="16"/>
    </w:rPr>
  </w:style>
  <w:style w:type="character" w:customStyle="1" w:styleId="BalloonTextChar">
    <w:name w:val="Balloon Text Char"/>
    <w:basedOn w:val="DefaultParagraphFont"/>
    <w:link w:val="BalloonText"/>
    <w:rsid w:val="00D74BD0"/>
    <w:rPr>
      <w:rFonts w:ascii="Tahoma"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905758">
      <w:bodyDiv w:val="1"/>
      <w:marLeft w:val="0"/>
      <w:marRight w:val="0"/>
      <w:marTop w:val="0"/>
      <w:marBottom w:val="0"/>
      <w:divBdr>
        <w:top w:val="none" w:sz="0" w:space="0" w:color="auto"/>
        <w:left w:val="none" w:sz="0" w:space="0" w:color="auto"/>
        <w:bottom w:val="none" w:sz="0" w:space="0" w:color="auto"/>
        <w:right w:val="none" w:sz="0" w:space="0" w:color="auto"/>
      </w:divBdr>
      <w:divsChild>
        <w:div w:id="941500635">
          <w:marLeft w:val="0"/>
          <w:marRight w:val="0"/>
          <w:marTop w:val="0"/>
          <w:marBottom w:val="0"/>
          <w:divBdr>
            <w:top w:val="none" w:sz="0" w:space="0" w:color="auto"/>
            <w:left w:val="none" w:sz="0" w:space="0" w:color="auto"/>
            <w:bottom w:val="none" w:sz="0" w:space="0" w:color="auto"/>
            <w:right w:val="none" w:sz="0" w:space="0" w:color="auto"/>
          </w:divBdr>
          <w:divsChild>
            <w:div w:id="1583025821">
              <w:marLeft w:val="0"/>
              <w:marRight w:val="0"/>
              <w:marTop w:val="0"/>
              <w:marBottom w:val="0"/>
              <w:divBdr>
                <w:top w:val="none" w:sz="0" w:space="0" w:color="auto"/>
                <w:left w:val="none" w:sz="0" w:space="0" w:color="auto"/>
                <w:bottom w:val="none" w:sz="0" w:space="0" w:color="auto"/>
                <w:right w:val="none" w:sz="0" w:space="0" w:color="auto"/>
              </w:divBdr>
              <w:divsChild>
                <w:div w:id="2087604002">
                  <w:marLeft w:val="0"/>
                  <w:marRight w:val="0"/>
                  <w:marTop w:val="0"/>
                  <w:marBottom w:val="0"/>
                  <w:divBdr>
                    <w:top w:val="none" w:sz="0" w:space="0" w:color="auto"/>
                    <w:left w:val="none" w:sz="0" w:space="0" w:color="auto"/>
                    <w:bottom w:val="none" w:sz="0" w:space="0" w:color="auto"/>
                    <w:right w:val="none" w:sz="0" w:space="0" w:color="auto"/>
                  </w:divBdr>
                  <w:divsChild>
                    <w:div w:id="1124158502">
                      <w:marLeft w:val="0"/>
                      <w:marRight w:val="0"/>
                      <w:marTop w:val="0"/>
                      <w:marBottom w:val="0"/>
                      <w:divBdr>
                        <w:top w:val="none" w:sz="0" w:space="0" w:color="auto"/>
                        <w:left w:val="none" w:sz="0" w:space="0" w:color="auto"/>
                        <w:bottom w:val="none" w:sz="0" w:space="0" w:color="auto"/>
                        <w:right w:val="none" w:sz="0" w:space="0" w:color="auto"/>
                      </w:divBdr>
                      <w:divsChild>
                        <w:div w:id="264965283">
                          <w:marLeft w:val="0"/>
                          <w:marRight w:val="0"/>
                          <w:marTop w:val="0"/>
                          <w:marBottom w:val="0"/>
                          <w:divBdr>
                            <w:top w:val="none" w:sz="0" w:space="0" w:color="auto"/>
                            <w:left w:val="none" w:sz="0" w:space="0" w:color="auto"/>
                            <w:bottom w:val="none" w:sz="0" w:space="0" w:color="auto"/>
                            <w:right w:val="none" w:sz="0" w:space="0" w:color="auto"/>
                          </w:divBdr>
                          <w:divsChild>
                            <w:div w:id="1372652244">
                              <w:marLeft w:val="-204"/>
                              <w:marRight w:val="-204"/>
                              <w:marTop w:val="0"/>
                              <w:marBottom w:val="0"/>
                              <w:divBdr>
                                <w:top w:val="none" w:sz="0" w:space="0" w:color="auto"/>
                                <w:left w:val="none" w:sz="0" w:space="0" w:color="auto"/>
                                <w:bottom w:val="none" w:sz="0" w:space="0" w:color="auto"/>
                                <w:right w:val="none" w:sz="0" w:space="0" w:color="auto"/>
                              </w:divBdr>
                              <w:divsChild>
                                <w:div w:id="392117294">
                                  <w:marLeft w:val="0"/>
                                  <w:marRight w:val="0"/>
                                  <w:marTop w:val="0"/>
                                  <w:marBottom w:val="0"/>
                                  <w:divBdr>
                                    <w:top w:val="none" w:sz="0" w:space="0" w:color="auto"/>
                                    <w:left w:val="none" w:sz="0" w:space="0" w:color="auto"/>
                                    <w:bottom w:val="none" w:sz="0" w:space="0" w:color="auto"/>
                                    <w:right w:val="none" w:sz="0" w:space="0" w:color="auto"/>
                                  </w:divBdr>
                                  <w:divsChild>
                                    <w:div w:id="1863976477">
                                      <w:marLeft w:val="0"/>
                                      <w:marRight w:val="0"/>
                                      <w:marTop w:val="0"/>
                                      <w:marBottom w:val="0"/>
                                      <w:divBdr>
                                        <w:top w:val="none" w:sz="0" w:space="0" w:color="auto"/>
                                        <w:left w:val="none" w:sz="0" w:space="0" w:color="auto"/>
                                        <w:bottom w:val="none" w:sz="0" w:space="0" w:color="auto"/>
                                        <w:right w:val="none" w:sz="0" w:space="0" w:color="auto"/>
                                      </w:divBdr>
                                      <w:divsChild>
                                        <w:div w:id="1754013494">
                                          <w:marLeft w:val="0"/>
                                          <w:marRight w:val="0"/>
                                          <w:marTop w:val="0"/>
                                          <w:marBottom w:val="0"/>
                                          <w:divBdr>
                                            <w:top w:val="none" w:sz="0" w:space="0" w:color="auto"/>
                                            <w:left w:val="none" w:sz="0" w:space="0" w:color="auto"/>
                                            <w:bottom w:val="none" w:sz="0" w:space="0" w:color="auto"/>
                                            <w:right w:val="none" w:sz="0" w:space="0" w:color="auto"/>
                                          </w:divBdr>
                                          <w:divsChild>
                                            <w:div w:id="1697847514">
                                              <w:marLeft w:val="0"/>
                                              <w:marRight w:val="0"/>
                                              <w:marTop w:val="0"/>
                                              <w:marBottom w:val="0"/>
                                              <w:divBdr>
                                                <w:top w:val="none" w:sz="0" w:space="0" w:color="auto"/>
                                                <w:left w:val="none" w:sz="0" w:space="0" w:color="auto"/>
                                                <w:bottom w:val="none" w:sz="0" w:space="0" w:color="auto"/>
                                                <w:right w:val="none" w:sz="0" w:space="0" w:color="auto"/>
                                              </w:divBdr>
                                              <w:divsChild>
                                                <w:div w:id="1051609920">
                                                  <w:marLeft w:val="0"/>
                                                  <w:marRight w:val="0"/>
                                                  <w:marTop w:val="0"/>
                                                  <w:marBottom w:val="0"/>
                                                  <w:divBdr>
                                                    <w:top w:val="none" w:sz="0" w:space="0" w:color="auto"/>
                                                    <w:left w:val="none" w:sz="0" w:space="0" w:color="auto"/>
                                                    <w:bottom w:val="none" w:sz="0" w:space="0" w:color="auto"/>
                                                    <w:right w:val="none" w:sz="0" w:space="0" w:color="auto"/>
                                                  </w:divBdr>
                                                  <w:divsChild>
                                                    <w:div w:id="1371808478">
                                                      <w:marLeft w:val="0"/>
                                                      <w:marRight w:val="0"/>
                                                      <w:marTop w:val="0"/>
                                                      <w:marBottom w:val="0"/>
                                                      <w:divBdr>
                                                        <w:top w:val="none" w:sz="0" w:space="0" w:color="auto"/>
                                                        <w:left w:val="none" w:sz="0" w:space="0" w:color="auto"/>
                                                        <w:bottom w:val="none" w:sz="0" w:space="0" w:color="auto"/>
                                                        <w:right w:val="none" w:sz="0" w:space="0" w:color="auto"/>
                                                      </w:divBdr>
                                                      <w:divsChild>
                                                        <w:div w:id="2080130332">
                                                          <w:marLeft w:val="0"/>
                                                          <w:marRight w:val="0"/>
                                                          <w:marTop w:val="0"/>
                                                          <w:marBottom w:val="0"/>
                                                          <w:divBdr>
                                                            <w:top w:val="none" w:sz="0" w:space="0" w:color="auto"/>
                                                            <w:left w:val="none" w:sz="0" w:space="0" w:color="auto"/>
                                                            <w:bottom w:val="none" w:sz="0" w:space="0" w:color="auto"/>
                                                            <w:right w:val="none" w:sz="0" w:space="0" w:color="auto"/>
                                                          </w:divBdr>
                                                          <w:divsChild>
                                                            <w:div w:id="8329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1167</Words>
  <Characters>666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Izņēmumu piemērošana saskaņā ar regulas Nr</vt:lpstr>
    </vt:vector>
  </TitlesOfParts>
  <Company>CDT</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Izņēmumu piemērošana saskaņā ar regulas Nr</dc:title>
  <dc:subject/>
  <dc:creator>CDT</dc:creator>
  <cp:keywords/>
  <dc:description/>
  <cp:lastModifiedBy>Solvita Sukure</cp:lastModifiedBy>
  <cp:revision>6</cp:revision>
  <cp:lastPrinted>1900-12-31T21:00:00Z</cp:lastPrinted>
  <dcterms:created xsi:type="dcterms:W3CDTF">2022-01-24T12:09:00Z</dcterms:created>
  <dcterms:modified xsi:type="dcterms:W3CDTF">2022-05-02T10:36:00Z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Id">
    <vt:lpwstr>7e95c13c-b1a8-470d-84f2-adfe00d901ea</vt:lpwstr>
  </property>
</Properties>
</file>